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-1957705</wp:posOffset>
            </wp:positionV>
            <wp:extent cx="2390140" cy="1326515"/>
            <wp:effectExtent l="0" t="0" r="10160" b="698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52"/>
          <w:szCs w:val="52"/>
        </w:rPr>
        <w:t>JF-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Y301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G-Ex</w:t>
      </w:r>
    </w:p>
    <w:p>
      <w:pPr>
        <w:spacing w:before="156" w:line="36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点型光电感烟火灾探测器</w:t>
      </w:r>
    </w:p>
    <w:p>
      <w:pPr>
        <w:spacing w:before="156" w:line="36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使用说明书</w:t>
      </w:r>
    </w:p>
    <w:p>
      <w:pPr>
        <w:spacing w:before="156" w:line="360" w:lineRule="auto"/>
        <w:jc w:val="center"/>
        <w:rPr>
          <w:b/>
          <w:bCs/>
          <w:sz w:val="52"/>
          <w:szCs w:val="5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276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1304" w:bottom="1134" w:left="1304" w:header="851" w:footer="794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>
      <w:pPr>
        <w:spacing w:before="156" w:beforeLines="50" w:line="276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目录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 概述...............................................................................1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16"/>
          <w:szCs w:val="1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1.1产品特点.....................................................................1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1.2适用范围.....................................................................1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 工作原理...........................................................................1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 型号的组成及其代表意义.............................................................2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4 性能参数...........................................................................2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 安装调试...........................................................................3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5.1安装说明/步骤...............................................................3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5.2调试方法....................................................................4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6 故障分析与排除.....................................................................4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7 保养、维护.........................................................................4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 开箱及检查.........................................................................5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9 注意事项、免责声明.................................................................5</w:t>
      </w:r>
    </w:p>
    <w:p>
      <w:pPr>
        <w:spacing w:line="276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  <w:sectPr>
          <w:pgSz w:w="11906" w:h="16838"/>
          <w:pgMar w:top="1134" w:right="1304" w:bottom="1134" w:left="1304" w:header="851" w:footer="794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JF-Y301G-Ex点型光电感烟火灾探测器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使用说明书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（使用产品前，请阅读使用说明书）</w:t>
      </w:r>
    </w:p>
    <w:p>
      <w:pPr>
        <w:pStyle w:val="2"/>
        <w:numPr>
          <w:ilvl w:val="0"/>
          <w:numId w:val="0"/>
        </w:numPr>
        <w:spacing w:before="60" w:after="6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_Toc40712009"/>
      <w:r>
        <w:rPr>
          <w:rFonts w:hint="eastAsia" w:ascii="Times New Roman" w:hAnsi="Times New Roman" w:cs="Times New Roman"/>
          <w:sz w:val="30"/>
          <w:szCs w:val="30"/>
        </w:rPr>
        <w:t xml:space="preserve">1  </w:t>
      </w:r>
      <w:r>
        <w:rPr>
          <w:rFonts w:ascii="Times New Roman" w:hAnsi="Times New Roman" w:cs="Times New Roman"/>
          <w:sz w:val="30"/>
          <w:szCs w:val="30"/>
        </w:rPr>
        <w:t>概述</w:t>
      </w:r>
      <w:bookmarkEnd w:id="0"/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JF-Y301G-Ex点型光电感烟火灾探测器</w:t>
      </w:r>
      <w:r>
        <w:rPr>
          <w:rFonts w:ascii="Times New Roman" w:hAnsi="Times New Roman" w:eastAsia="宋体" w:cs="Times New Roman"/>
          <w:kern w:val="0"/>
          <w:szCs w:val="21"/>
        </w:rPr>
        <w:t>（以下简称</w:t>
      </w:r>
      <w:r>
        <w:rPr>
          <w:rFonts w:hint="eastAsia" w:ascii="Times New Roman" w:hAnsi="Times New Roman" w:eastAsia="宋体" w:cs="Times New Roman"/>
          <w:kern w:val="0"/>
          <w:szCs w:val="21"/>
        </w:rPr>
        <w:t>探测器</w:t>
      </w:r>
      <w:r>
        <w:rPr>
          <w:rFonts w:ascii="Times New Roman" w:hAnsi="Times New Roman" w:eastAsia="宋体" w:cs="Times New Roman"/>
          <w:kern w:val="0"/>
          <w:szCs w:val="21"/>
        </w:rPr>
        <w:t>）</w:t>
      </w:r>
      <w:r>
        <w:rPr>
          <w:rFonts w:hint="eastAsia" w:ascii="Times New Roman" w:hAnsi="Times New Roman" w:eastAsia="宋体" w:cs="Times New Roman"/>
          <w:kern w:val="0"/>
          <w:szCs w:val="21"/>
        </w:rPr>
        <w:t>是四川久远智能消防设备有限责任公司开发的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防</w:t>
      </w:r>
      <w:r>
        <w:rPr>
          <w:rFonts w:ascii="Times New Roman" w:hAnsi="Times New Roman" w:eastAsia="宋体" w:cs="Times New Roman"/>
          <w:kern w:val="0"/>
          <w:szCs w:val="21"/>
        </w:rPr>
        <w:t>爆</w:t>
      </w:r>
      <w:r>
        <w:rPr>
          <w:rFonts w:hint="eastAsia" w:ascii="Times New Roman" w:hAnsi="Times New Roman" w:eastAsia="宋体" w:cs="Times New Roman"/>
          <w:kern w:val="0"/>
          <w:szCs w:val="21"/>
        </w:rPr>
        <w:t>型感烟探测器，该探测器</w:t>
      </w:r>
      <w:r>
        <w:rPr>
          <w:rFonts w:ascii="Times New Roman" w:hAnsi="Times New Roman" w:eastAsia="宋体" w:cs="Times New Roman"/>
          <w:kern w:val="0"/>
          <w:szCs w:val="21"/>
        </w:rPr>
        <w:t>可以对火灾早期阶段和阴燃阶段所产生的烟雾粒子做出有效的响应</w:t>
      </w:r>
      <w:r>
        <w:rPr>
          <w:rFonts w:hint="eastAsia" w:ascii="Times New Roman" w:hAnsi="Times New Roman" w:eastAsia="宋体" w:cs="Times New Roman"/>
          <w:kern w:val="0"/>
          <w:szCs w:val="21"/>
        </w:rPr>
        <w:t>，对不同材质燃烧后产生的白烟或黑烟均可响应，</w:t>
      </w:r>
      <w:r>
        <w:rPr>
          <w:rFonts w:ascii="Times New Roman" w:hAnsi="Times New Roman" w:eastAsia="宋体" w:cs="Times New Roman"/>
          <w:kern w:val="0"/>
          <w:szCs w:val="21"/>
        </w:rPr>
        <w:t>主要用来探测可见或不可见的燃烧产物及起火速度缓慢的初期火灾，</w:t>
      </w:r>
      <w:r>
        <w:rPr>
          <w:rFonts w:hint="eastAsia" w:ascii="Times New Roman" w:hAnsi="Times New Roman" w:eastAsia="宋体" w:cs="Times New Roman"/>
          <w:kern w:val="0"/>
          <w:szCs w:val="21"/>
        </w:rPr>
        <w:t>该产品具有较强的抗干扰能力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该产品按照国家标准</w:t>
      </w:r>
      <w:r>
        <w:rPr>
          <w:rFonts w:hint="eastAsia" w:ascii="Times New Roman" w:hAnsi="Times New Roman" w:cs="Times New Roman"/>
          <w:bCs/>
          <w:szCs w:val="21"/>
        </w:rPr>
        <w:t>GB 4715</w:t>
      </w:r>
      <w:r>
        <w:rPr>
          <w:rFonts w:ascii="Times New Roman" w:hAnsi="Times New Roman" w:cs="Times New Roman"/>
          <w:bCs/>
          <w:szCs w:val="21"/>
        </w:rPr>
        <w:t>-2005《</w:t>
      </w:r>
      <w:r>
        <w:rPr>
          <w:rFonts w:hint="eastAsia" w:ascii="宋体" w:hAnsi="宋体"/>
          <w:szCs w:val="21"/>
        </w:rPr>
        <w:t>点型感烟火灾探测器</w:t>
      </w:r>
      <w:r>
        <w:rPr>
          <w:rFonts w:ascii="Times New Roman" w:hAnsi="Times New Roman" w:cs="Times New Roman"/>
          <w:bCs/>
          <w:szCs w:val="21"/>
        </w:rPr>
        <w:t>》、GB/T 3836.1-2021《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第1部分: 设备通用要求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hint="eastAsia" w:ascii="Times New Roman" w:hAnsi="Times New Roman" w:cs="Times New Roman"/>
          <w:bCs/>
          <w:szCs w:val="21"/>
        </w:rPr>
        <w:t>、</w:t>
      </w:r>
      <w:r>
        <w:rPr>
          <w:rFonts w:ascii="Times New Roman" w:hAnsi="Times New Roman" w:cs="Times New Roman"/>
          <w:bCs/>
          <w:kern w:val="0"/>
          <w:szCs w:val="21"/>
        </w:rPr>
        <w:t>GB/T 3836.2-2021</w:t>
      </w:r>
      <w:r>
        <w:rPr>
          <w:rFonts w:hint="eastAsia" w:ascii="Times New Roman" w:hAnsi="Times New Roman" w:cs="Times New Roman"/>
          <w:bCs/>
          <w:kern w:val="0"/>
          <w:szCs w:val="21"/>
        </w:rPr>
        <w:t>《爆炸性环境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Cs w:val="21"/>
        </w:rPr>
        <w:t>第</w:t>
      </w:r>
      <w:r>
        <w:rPr>
          <w:rFonts w:ascii="Times New Roman" w:hAnsi="Times New Roman" w:cs="Times New Roman"/>
          <w:bCs/>
          <w:kern w:val="0"/>
          <w:szCs w:val="21"/>
        </w:rPr>
        <w:t>2</w:t>
      </w:r>
      <w:r>
        <w:rPr>
          <w:rFonts w:hint="eastAsia" w:ascii="Times New Roman" w:hAnsi="Times New Roman" w:cs="Times New Roman"/>
          <w:bCs/>
          <w:kern w:val="0"/>
          <w:szCs w:val="21"/>
        </w:rPr>
        <w:t>部分：由隔爆外壳</w:t>
      </w:r>
      <w:r>
        <w:rPr>
          <w:rFonts w:ascii="Times New Roman" w:hAnsi="Times New Roman" w:eastAsia="宋体" w:cs="Times New Roman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kern w:val="0"/>
          <w:szCs w:val="21"/>
        </w:rPr>
        <w:t>d</w:t>
      </w:r>
      <w:r>
        <w:rPr>
          <w:rFonts w:ascii="Times New Roman" w:hAnsi="Times New Roman" w:eastAsia="宋体" w:cs="Times New Roman"/>
          <w:kern w:val="0"/>
          <w:szCs w:val="21"/>
        </w:rPr>
        <w:t>”</w:t>
      </w:r>
      <w:r>
        <w:rPr>
          <w:rFonts w:hint="eastAsia" w:ascii="Times New Roman" w:hAnsi="Times New Roman" w:cs="Times New Roman"/>
          <w:bCs/>
          <w:kern w:val="0"/>
          <w:szCs w:val="21"/>
        </w:rPr>
        <w:t>保护的设备》</w:t>
      </w:r>
      <w:r>
        <w:rPr>
          <w:rFonts w:ascii="Times New Roman" w:hAnsi="Times New Roman" w:eastAsia="宋体" w:cs="Times New Roman"/>
          <w:kern w:val="0"/>
          <w:szCs w:val="21"/>
        </w:rPr>
        <w:t>和</w:t>
      </w:r>
      <w:r>
        <w:rPr>
          <w:rFonts w:ascii="Times New Roman" w:hAnsi="Times New Roman" w:cs="Times New Roman"/>
          <w:bCs/>
          <w:szCs w:val="21"/>
        </w:rPr>
        <w:t>GB/T 3836.4-2021《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第4部分：由本质安全型“i”保护的设备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ascii="Times New Roman" w:hAnsi="Times New Roman" w:eastAsia="宋体" w:cs="Times New Roman"/>
          <w:kern w:val="0"/>
          <w:szCs w:val="21"/>
        </w:rPr>
        <w:t>中有关规定制造生产。</w:t>
      </w:r>
    </w:p>
    <w:p>
      <w:pPr>
        <w:autoSpaceDE w:val="0"/>
        <w:autoSpaceDN w:val="0"/>
        <w:adjustRightInd w:val="0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该产品</w:t>
      </w:r>
      <w:r>
        <w:rPr>
          <w:rFonts w:ascii="Times New Roman" w:hAnsi="Times New Roman" w:cs="Times New Roman"/>
        </w:rPr>
        <w:t>适</w:t>
      </w:r>
      <w:r>
        <w:rPr>
          <w:rFonts w:ascii="Times New Roman" w:hAnsi="Arial" w:cs="Times New Roman"/>
        </w:rPr>
        <w:t>用于石油、石化等具有防爆要求的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Arial" w:cs="Times New Roman"/>
        </w:rPr>
        <w:t>区及</w:t>
      </w:r>
      <w:r>
        <w:rPr>
          <w:rFonts w:ascii="Times New Roman" w:hAnsi="Times New Roman" w:cs="Times New Roman"/>
        </w:rPr>
        <w:t>2</w:t>
      </w:r>
      <w:r>
        <w:rPr>
          <w:rFonts w:ascii="Times New Roman" w:hAnsi="Arial" w:cs="Times New Roman"/>
        </w:rPr>
        <w:t>区室内（非住宅内）防爆场所</w:t>
      </w:r>
      <w:r>
        <w:rPr>
          <w:rFonts w:hint="eastAsia" w:ascii="Times New Roman" w:hAnsi="Times New Roman" w:cs="Times New Roman"/>
        </w:rPr>
        <w:t>。</w:t>
      </w:r>
    </w:p>
    <w:p>
      <w:pPr>
        <w:pStyle w:val="3"/>
        <w:numPr>
          <w:ilvl w:val="1"/>
          <w:numId w:val="2"/>
        </w:num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1" w:name="_Toc40712010"/>
      <w:r>
        <w:rPr>
          <w:rFonts w:ascii="Times New Roman" w:hAnsi="Times New Roman" w:cs="Times New Roman"/>
        </w:rPr>
        <w:t>产品特点</w:t>
      </w:r>
      <w:bookmarkEnd w:id="1"/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内置专用于消防行业的朱鹮微处理器，探测器对自身采集到的数据进行存储和分析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3"/>
        </w:numPr>
        <w:spacing w:line="276" w:lineRule="auto"/>
      </w:pPr>
      <w:r>
        <w:rPr>
          <w:rFonts w:hint="eastAsia"/>
        </w:rPr>
        <w:t>污染自动补偿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根据自身的污染程度进行零位漂移，最大程度减少误报；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适</w:t>
      </w:r>
      <w:r>
        <w:t>用范围广，对不同材质燃烧后产生的白烟或黑烟均可响应</w:t>
      </w:r>
      <w:r>
        <w:rPr>
          <w:rFonts w:hint="eastAsia"/>
        </w:rPr>
        <w:t>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稳定性高，抗静电、抗灰尘附着、抗电磁干扰、抗腐蚀；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抗潮湿能力、抗环境温度影响能力强，可适应不同气候环境的要求；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 SMT 表面贴装工艺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3"/>
        </w:numPr>
        <w:spacing w:line="276" w:lineRule="auto"/>
      </w:pPr>
      <w:r>
        <w:rPr>
          <w:rFonts w:hint="eastAsia"/>
        </w:rPr>
        <w:t>采用消防二总线技术，有极性要求。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2" w:name="_Toc40712011"/>
      <w:r>
        <w:rPr>
          <w:rFonts w:ascii="Times New Roman" w:hAnsi="Times New Roman" w:cs="Times New Roman"/>
        </w:rPr>
        <w:t>适用范围</w:t>
      </w:r>
      <w:bookmarkEnd w:id="2"/>
    </w:p>
    <w:p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探测器可</w:t>
      </w:r>
      <w:r>
        <w:rPr>
          <w:rFonts w:ascii="Times New Roman" w:hAnsi="Times New Roman" w:eastAsia="宋体" w:cs="Times New Roman"/>
          <w:kern w:val="0"/>
          <w:szCs w:val="21"/>
        </w:rPr>
        <w:t>安装在</w:t>
      </w:r>
      <w:r>
        <w:rPr>
          <w:rFonts w:ascii="Times New Roman" w:hAnsi="Arial" w:cs="Times New Roman"/>
        </w:rPr>
        <w:t>具有防爆要求的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Arial" w:cs="Times New Roman"/>
        </w:rPr>
        <w:t>区及</w:t>
      </w:r>
      <w:r>
        <w:rPr>
          <w:rFonts w:ascii="Times New Roman" w:hAnsi="Times New Roman" w:cs="Times New Roman"/>
        </w:rPr>
        <w:t>2</w:t>
      </w:r>
      <w:r>
        <w:rPr>
          <w:rFonts w:ascii="Times New Roman" w:hAnsi="Arial" w:cs="Times New Roman"/>
        </w:rPr>
        <w:t>区室内（非住宅内）防爆场所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Cs w:val="21"/>
        </w:rPr>
        <w:t>广泛用于石油、化工、医药、船舶等领域。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191135</wp:posOffset>
                </wp:positionV>
                <wp:extent cx="1562100" cy="266065"/>
                <wp:effectExtent l="0" t="1905" r="0" b="0"/>
                <wp:wrapNone/>
                <wp:docPr id="1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315.8pt;margin-top:15.05pt;height:20.95pt;width:123pt;z-index:251659264;mso-width-relative:page;mso-height-relative:page;" filled="f" stroked="f" coordsize="21600,21600" o:gfxdata="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wotdrWAAAACQEAAA8AAAAAAAAAAQAgAAAAIgAAAGRy&#10;cy9kb3ducmV2LnhtbFBLAQIUABQAAAAIAIdO4kAOhU89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191135</wp:posOffset>
                </wp:positionV>
                <wp:extent cx="1513840" cy="304800"/>
                <wp:effectExtent l="635" t="1270" r="0" b="0"/>
                <wp:wrapNone/>
                <wp:docPr id="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316.6pt;margin-top:15.05pt;height:24pt;width:119.2pt;z-index:251660288;mso-width-relative:page;mso-height-relative:page;" filled="f" stroked="f" coordsize="21600,21600" o:gfxdata="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sQNr1wAAAAkBAAAPAAAAAAAAAAEAIAAAACIAAABk&#10;cnMvZG93bnJldi54bWxQSwECFAAUAAAACACHTuJAONYj9AcCAAAV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</w:t>
      </w:r>
      <w:bookmarkStart w:id="3" w:name="_Toc40712013"/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439420</wp:posOffset>
                </wp:positionV>
                <wp:extent cx="1809115" cy="304800"/>
                <wp:effectExtent l="635" t="635" r="0" b="0"/>
                <wp:wrapNone/>
                <wp:docPr id="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16.6pt;margin-top:34.6pt;height:24pt;width:142.45pt;z-index:251662336;mso-width-relative:page;mso-height-relative:page;" filled="f" stroked="f" coordsize="21600,21600" o:gfxdata="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75QfWAAAACgEAAA8AAAAAAAAAAQAgAAAAIgAAAGRy&#10;cy9kb3ducmV2LnhtbFBLAQIUABQAAAAIAIdO4kBDZuihBwIAABU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201295</wp:posOffset>
                </wp:positionV>
                <wp:extent cx="1513840" cy="304800"/>
                <wp:effectExtent l="635" t="635" r="0" b="0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316.6pt;margin-top:15.85pt;height:24pt;width:119.2pt;z-index:251661312;mso-width-relative:page;mso-height-relative:page;" filled="f" stroked="f" coordsize="21600,21600" o:gfxdata="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2GI2tgAAAAJAQAADwAAAAAAAAABACAAAAAiAAAA&#10;ZHJzL2Rvd25yZXYueG1sUEsBAhQAFAAAAAgAh07iQA2iuYA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工作原理</w:t>
      </w:r>
      <w:bookmarkEnd w:id="3"/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感烟探测器</w:t>
      </w:r>
      <w:r>
        <w:rPr>
          <w:rFonts w:ascii="Times New Roman" w:hAnsi="Times New Roman" w:eastAsia="宋体" w:cs="Times New Roman"/>
          <w:kern w:val="0"/>
          <w:szCs w:val="21"/>
        </w:rPr>
        <w:t>由迷宫，红外发射部分，红外接收部分及相应的放大处理等电路组成。正常工作时，当迷宫中没有烟时，红外发射管发出的红外光不能到达接收管， 因此，放大器没有输出；而当迷宫中有烟时，红外发光管发出的光由于烟的散色作用，有部分红外光到达接收管，迷宫中烟的浓度越大，放大器输出就越大，当烟浓度达到设定报警阈值时电路给出报警信号。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</w:p>
    <w:p>
      <w:pPr>
        <w:spacing w:line="276" w:lineRule="auto"/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</w:pPr>
    </w:p>
    <w:p>
      <w:pPr>
        <w:spacing w:line="276" w:lineRule="auto"/>
        <w:rPr>
          <w:rFonts w:hint="eastAsia" w:ascii="Times New Roman" w:hAnsi="Times New Roman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/>
          <w:bCs/>
          <w:kern w:val="44"/>
          <w:sz w:val="30"/>
          <w:szCs w:val="30"/>
          <w:lang w:val="en-US" w:eastAsia="zh-CN" w:bidi="ar-SA"/>
        </w:rPr>
        <w:t xml:space="preserve">  型号的组成及其代表意义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160655</wp:posOffset>
                </wp:positionV>
                <wp:extent cx="635" cy="119380"/>
                <wp:effectExtent l="4445" t="0" r="13970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9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65pt;margin-top:12.65pt;height:9.4pt;width:0.05pt;z-index:251669504;mso-width-relative:page;mso-height-relative:page;" filled="f" stroked="t" coordsize="21600,21600" o:gfxdata="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2epq1wAAAAkBAAAPAAAAAAAAAAEAIAAAACIAAABkcnMvZG93bnJldi54bWxQ&#10;SwECFAAUAAAACACHTuJAS1N/Rv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170180</wp:posOffset>
                </wp:positionV>
                <wp:extent cx="2540" cy="52895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28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.9pt;margin-top:13.4pt;height:41.65pt;width:0.2pt;z-index:251667456;mso-width-relative:page;mso-height-relative:page;" filled="f" stroked="t" coordsize="21600,21600" o:gfxdata="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K5p81gAAAAkBAAAPAAAAAAAAAAEAIAAAACIAAABkcnMvZG93bnJldi54&#10;bWxQSwECFAAUAAAACACHTuJAAlRodfwBAADw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176530</wp:posOffset>
                </wp:positionV>
                <wp:extent cx="3810" cy="91440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914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3.9pt;height:72pt;width:0.3pt;z-index:251665408;mso-width-relative:page;mso-height-relative:page;" filled="f" stroked="t" coordsize="21600,21600" o:gfxdata="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3Szf1gAAAAgBAAAPAAAAAAAAAAEAIAAAACIAAABkcnMvZG93bnJl&#10;di54bWxQSwECFAAUAAAACACHTuJAiV6oi/8BAADw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JF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Y301G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Ex</w:t>
      </w: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89535</wp:posOffset>
                </wp:positionV>
                <wp:extent cx="1402080" cy="254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75pt;margin-top:7.05pt;height:0.2pt;width:110.4pt;z-index:251670528;mso-width-relative:page;mso-height-relative:page;" filled="f" stroked="t" coordsize="21600,21600" o:gfxdata="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U2Sr1gAAAAkBAAAPAAAAAAAAAAEAIAAAACIAAABkcnMvZG93bnJldi54bWxQ&#10;SwECFAAUAAAACACHTuJAngME5PkBAADp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防爆标识</w:t>
      </w:r>
    </w:p>
    <w:p>
      <w:pPr>
        <w:numPr>
          <w:ilvl w:val="0"/>
          <w:numId w:val="0"/>
        </w:numPr>
        <w:rPr>
          <w:rFonts w:hint="default" w:ascii="Arial" w:cs="Arial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108585</wp:posOffset>
                </wp:positionV>
                <wp:extent cx="1748790" cy="254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79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9pt;margin-top:8.55pt;height:0.2pt;width:137.7pt;z-index:251668480;mso-width-relative:page;mso-height-relative:page;" filled="f" stroked="t" coordsize="21600,21600" o:gfxdata="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7NPk7WAAAACAEAAA8AAAAAAAAAAQAgAAAAIgAAAGRycy9kb3ducmV2Lnht&#10;bFBLAQIUABQAAAAIAIdO4kDBIBeL+wEAAOc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产品型号</w:t>
      </w: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99695</wp:posOffset>
                </wp:positionV>
                <wp:extent cx="2105660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7pt;margin-top:7.85pt;height:0.05pt;width:165.8pt;z-index:251666432;mso-width-relative:page;mso-height-relative:page;" filled="f" stroked="t" coordsize="21600,21600" o:gfxdata="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lfrv1gAAAAgBAAAPAAAAAAAAAAEAIAAAACIAAABkcnMvZG93bnJldi54bWxQSwEC&#10;FAAUAAAACACHTuJAUeCUfPYBAADo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公司代号</w:t>
      </w:r>
    </w:p>
    <w:p>
      <w:pPr>
        <w:spacing w:line="276" w:lineRule="auto"/>
        <w:rPr>
          <w:rFonts w:ascii="Times New Roman" w:hAnsi="Times New Roman" w:eastAsia="宋体" w:cs="Times New Roman"/>
          <w:kern w:val="0"/>
          <w:szCs w:val="21"/>
        </w:rPr>
      </w:pP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4" w:name="_Toc40712014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4  </w:t>
      </w:r>
      <w:r>
        <w:rPr>
          <w:rFonts w:ascii="Times New Roman" w:hAnsi="Times New Roman" w:cs="Times New Roman"/>
          <w:sz w:val="30"/>
          <w:szCs w:val="30"/>
        </w:rPr>
        <w:t>性能参数</w:t>
      </w:r>
      <w:bookmarkEnd w:id="4"/>
    </w:p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环境特性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10℃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～+55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-20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～+65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≤95%（无凝露）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防爆特性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防护等级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隔爆部分：</w:t>
            </w:r>
            <w:r>
              <w:rPr>
                <w:rFonts w:ascii="Times New Roman" w:hAnsi="Times New Roman" w:cs="Times New Roman"/>
                <w:szCs w:val="21"/>
              </w:rPr>
              <w:t>IP66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本安部分：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IP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防爆标志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 db ib IIC T6 Gb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防爆合格证号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CNEx22.7635X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电气特性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工作电压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hint="eastAsia" w:ascii="Times New Roman" w:hAnsi="Times New Roman" w:cs="Times New Roman"/>
                <w:szCs w:val="21"/>
              </w:rPr>
              <w:t>，控制器提供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监视电流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≤540uA（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报警电流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≤790uA（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确认灯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监视状态瞬时闪亮，报警常亮（红色）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通讯特性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线 制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有极性 二线制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编址范围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-200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编址方式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电子编码器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最远传输距离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1000</w:t>
            </w: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RVS2</w:t>
            </w:r>
            <w:r>
              <w:rPr>
                <w:rFonts w:hint="eastAsia"/>
              </w:rPr>
              <w:t>×</w:t>
            </w:r>
            <w:r>
              <w:rPr>
                <w:rFonts w:ascii="Times New Roman" w:hAnsi="Times New Roman" w:cs="Times New Roman"/>
                <w:highlight w:val="none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highlight w:val="none"/>
              </w:rPr>
              <w:t>mm</w:t>
            </w:r>
            <w:r>
              <w:rPr>
                <w:rFonts w:ascii="Times New Roman" w:hAnsi="Times New Roman" w:cs="Times New Roman"/>
                <w:highlight w:val="none"/>
                <w:vertAlign w:val="superscript"/>
              </w:rPr>
              <w:t>2</w:t>
            </w:r>
            <w:r>
              <w:rPr>
                <w:rFonts w:ascii="Times New Roman" w:hAnsi="宋体" w:cs="Times New Roman"/>
              </w:rPr>
              <w:t>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兼容性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trike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JF999系列控制器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机械特性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 观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塑料部分</w:t>
            </w:r>
            <w:r>
              <w:rPr>
                <w:rFonts w:ascii="Times New Roman" w:hAnsi="Times New Roman" w:cs="Times New Roman"/>
              </w:rPr>
              <w:t>白色</w:t>
            </w:r>
            <w:r>
              <w:rPr>
                <w:rFonts w:hint="eastAsia" w:ascii="Times New Roman" w:hAnsi="Times New Roman" w:cs="Times New Roman"/>
              </w:rPr>
              <w:t>、金属部分红色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外壳材质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金属+塑料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产品质量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约</w:t>
            </w:r>
            <w:r>
              <w:rPr>
                <w:rFonts w:ascii="Times New Roman" w:hAnsi="Times New Roman" w:cs="Times New Roman"/>
              </w:rPr>
              <w:t>1043g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外形尺寸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155</w:t>
            </w:r>
            <w:r>
              <w:rPr>
                <w:rFonts w:ascii="Times New Roman" w:hAnsi="Times New Roman" w:cs="Times New Roman"/>
              </w:rPr>
              <w:t>mm</w:t>
            </w:r>
            <w:r>
              <w:rPr>
                <w:rFonts w:hint="eastAsia" w:ascii="Times New Roman" w:hAnsi="Times New Roman" w:cs="Times New Roman"/>
              </w:rPr>
              <w:t xml:space="preserve"> × </w:t>
            </w:r>
            <w:r>
              <w:rPr>
                <w:rFonts w:ascii="Times New Roman" w:hAnsi="Times New Roman" w:cs="Times New Roman"/>
              </w:rPr>
              <w:t>115mm</w:t>
            </w:r>
            <w:r>
              <w:rPr>
                <w:rFonts w:hint="eastAsia" w:ascii="Times New Roman" w:hAnsi="Times New Roman" w:cs="Times New Roman"/>
              </w:rPr>
              <w:t xml:space="preserve"> ×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104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电气接口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-M20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认证特性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</w:rPr>
              <w:t>消防认证</w:t>
            </w:r>
            <w:r>
              <w:rPr>
                <w:rFonts w:ascii="Times New Roman" w:hAnsi="Times New Roman" w:cs="Times New Roman"/>
                <w:bCs/>
              </w:rPr>
              <w:t>、防爆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检测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执行标准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3836.1-2021《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第1部分: 设备通用要求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GB/T 3836.2-2021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《爆炸性环境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第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部分：由隔爆外壳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“d”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保护的设备》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3836.4-2021《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第4部分：由本质安全型“i”保护的设备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GB 471</w:t>
            </w: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-2005《点型感烟火灾探测器》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5" w:name="_Toc40712015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5   </w:t>
      </w:r>
      <w:r>
        <w:rPr>
          <w:rFonts w:ascii="Times New Roman" w:hAnsi="Times New Roman" w:cs="Times New Roman"/>
          <w:sz w:val="30"/>
          <w:szCs w:val="30"/>
        </w:rPr>
        <w:t>安装调试</w:t>
      </w:r>
      <w:bookmarkEnd w:id="5"/>
    </w:p>
    <w:p>
      <w:pPr>
        <w:pStyle w:val="3"/>
        <w:numPr>
          <w:ilvl w:val="1"/>
          <w:numId w:val="0"/>
        </w:numPr>
        <w:spacing w:before="60" w:after="60"/>
        <w:ind w:leftChars="0"/>
        <w:rPr>
          <w:rFonts w:ascii="Times New Roman" w:hAnsi="Times New Roman" w:cs="Times New Roman"/>
        </w:rPr>
      </w:pPr>
      <w:bookmarkStart w:id="6" w:name="_Toc40712016"/>
      <w:r>
        <w:rPr>
          <w:rFonts w:hint="eastAsia" w:ascii="Times New Roman" w:hAnsi="Times New Roman" w:cs="Times New Roman"/>
          <w:lang w:val="en-US" w:eastAsia="zh-CN"/>
        </w:rPr>
        <w:t xml:space="preserve">5.1  </w:t>
      </w:r>
      <w:r>
        <w:rPr>
          <w:rFonts w:ascii="Times New Roman" w:hAnsi="Times New Roman" w:cs="Times New Roman"/>
        </w:rPr>
        <w:t>安装说明/步骤</w:t>
      </w:r>
      <w:bookmarkEnd w:id="6"/>
    </w:p>
    <w:p>
      <w:pPr>
        <w:numPr>
          <w:ilvl w:val="0"/>
          <w:numId w:val="5"/>
        </w:numPr>
        <w:spacing w:before="156" w:beforeLines="50" w:line="276" w:lineRule="auto"/>
        <w:ind w:hangingChars="200"/>
      </w:pPr>
      <w:r>
        <w:rPr>
          <w:rFonts w:hint="eastAsia"/>
        </w:rPr>
        <w:t>外形及安装尺寸</w:t>
      </w:r>
      <w:r>
        <w:t>如图1所示：</w:t>
      </w:r>
      <w:bookmarkStart w:id="11" w:name="_GoBack"/>
      <w:bookmarkEnd w:id="11"/>
    </w:p>
    <w:p>
      <w:pPr>
        <w:numPr>
          <w:ilvl w:val="0"/>
          <w:numId w:val="5"/>
        </w:numPr>
        <w:spacing w:line="276" w:lineRule="auto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安装应按照有关规定进行</w:t>
      </w:r>
      <w:r>
        <w:rPr>
          <w:rFonts w:hint="eastAsia" w:ascii="宋体" w:cs="宋体"/>
          <w:kern w:val="0"/>
          <w:szCs w:val="21"/>
          <w:lang w:eastAsia="zh-CN"/>
        </w:rPr>
        <w:t>；</w:t>
      </w:r>
    </w:p>
    <w:p>
      <w:pPr>
        <w:numPr>
          <w:ilvl w:val="0"/>
          <w:numId w:val="5"/>
        </w:numPr>
        <w:spacing w:line="276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10160</wp:posOffset>
            </wp:positionV>
            <wp:extent cx="150495" cy="145415"/>
            <wp:effectExtent l="0" t="0" r="1905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 xml:space="preserve">每个探测器铝合金金属外壳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端子应就近连接到大地</w:t>
      </w:r>
      <w:r>
        <w:rPr>
          <w:rFonts w:hint="eastAsia" w:ascii="宋体" w:hAnsi="宋体" w:cs="宋体"/>
          <w:szCs w:val="21"/>
          <w:lang w:eastAsia="zh-CN"/>
        </w:rPr>
        <w:t>；</w:t>
      </w:r>
    </w:p>
    <w:p>
      <w:pPr>
        <w:numPr>
          <w:ilvl w:val="0"/>
          <w:numId w:val="5"/>
        </w:numPr>
        <w:spacing w:line="276" w:lineRule="auto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电缆和导线可直接引入连接，也可间接引入连接。无论采用哪种引入方式，均应采取措施防止电缆受托拉或扭转时损坏接线端子；</w:t>
      </w:r>
    </w:p>
    <w:p>
      <w:pPr>
        <w:numPr>
          <w:ilvl w:val="0"/>
          <w:numId w:val="5"/>
        </w:numPr>
        <w:spacing w:line="276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cs="宋体"/>
          <w:kern w:val="0"/>
          <w:szCs w:val="21"/>
        </w:rPr>
        <w:t>将回路二总线输出分别接在端子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>+</w:t>
      </w:r>
      <w:r>
        <w:rPr>
          <w:rFonts w:hint="eastAsia" w:ascii="宋体" w:cs="宋体"/>
          <w:kern w:val="0"/>
          <w:szCs w:val="21"/>
        </w:rPr>
        <w:t xml:space="preserve"> 和端子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>-</w:t>
      </w:r>
      <w:r>
        <w:rPr>
          <w:rFonts w:hint="eastAsia" w:ascii="宋体" w:cs="宋体"/>
          <w:kern w:val="0"/>
          <w:szCs w:val="21"/>
        </w:rPr>
        <w:t>上，注意接线有极性；</w:t>
      </w:r>
    </w:p>
    <w:p>
      <w:pPr>
        <w:numPr>
          <w:ilvl w:val="0"/>
          <w:numId w:val="5"/>
        </w:numPr>
        <w:spacing w:line="276" w:lineRule="auto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电缆引入装置及封堵件需自配：</w:t>
      </w:r>
    </w:p>
    <w:p>
      <w:pPr>
        <w:spacing w:line="276" w:lineRule="auto"/>
        <w:ind w:left="42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电缆引入装置</w:t>
      </w:r>
      <w:r>
        <w:rPr>
          <w:rFonts w:hint="eastAsia" w:ascii="宋体" w:cs="宋体"/>
          <w:kern w:val="0"/>
          <w:szCs w:val="21"/>
          <w:lang w:val="en-US" w:eastAsia="zh-CN"/>
        </w:rPr>
        <w:t>接入口处螺纹：M20</w:t>
      </w:r>
      <w:r>
        <w:rPr>
          <w:rFonts w:hint="eastAsia" w:ascii="宋体" w:cs="宋体"/>
          <w:kern w:val="0"/>
          <w:szCs w:val="21"/>
        </w:rPr>
        <w:t>×1.5</w:t>
      </w:r>
    </w:p>
    <w:p>
      <w:pPr>
        <w:spacing w:line="276" w:lineRule="auto"/>
        <w:ind w:left="42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封堵</w:t>
      </w:r>
      <w:r>
        <w:rPr>
          <w:rFonts w:hint="eastAsia" w:ascii="宋体" w:cs="宋体"/>
          <w:kern w:val="0"/>
          <w:szCs w:val="21"/>
          <w:lang w:val="en-US" w:eastAsia="zh-CN"/>
        </w:rPr>
        <w:t>件接入口处螺纹：</w:t>
      </w:r>
      <w:r>
        <w:rPr>
          <w:rFonts w:hint="eastAsia" w:ascii="宋体" w:cs="宋体"/>
          <w:kern w:val="0"/>
          <w:szCs w:val="21"/>
        </w:rPr>
        <w:t>M20×1.5</w:t>
      </w:r>
      <w:r>
        <w:rPr>
          <w:rFonts w:hint="eastAsia" w:ascii="宋体" w:cs="宋体"/>
          <w:kern w:val="0"/>
          <w:szCs w:val="21"/>
          <w:lang w:eastAsia="zh-CN"/>
        </w:rPr>
        <w:t>；</w:t>
      </w:r>
    </w:p>
    <w:p>
      <w:pPr>
        <w:pStyle w:val="19"/>
        <w:ind w:left="42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19550" cy="2496185"/>
            <wp:effectExtent l="0" t="0" r="0" b="18415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3"/>
        <w:jc w:val="center"/>
      </w:pPr>
      <w:r>
        <w:rPr>
          <w:szCs w:val="21"/>
        </w:rPr>
        <w:t>图1  外形及安装尺寸图</w:t>
      </w:r>
    </w:p>
    <w:p>
      <w:pPr>
        <w:numPr>
          <w:ilvl w:val="0"/>
          <w:numId w:val="5"/>
        </w:numPr>
        <w:spacing w:line="276" w:lineRule="auto"/>
        <w:ind w:hangingChars="200"/>
        <w:rPr>
          <w:rFonts w:ascii="宋体" w:cs="宋体"/>
          <w:kern w:val="0"/>
          <w:szCs w:val="21"/>
        </w:rPr>
      </w:pPr>
      <w:r>
        <w:rPr>
          <w:rFonts w:hint="eastAsia"/>
        </w:rPr>
        <w:t>接线图例：</w:t>
      </w:r>
    </w:p>
    <w:p>
      <w:pPr>
        <w:spacing w:before="156" w:beforeLines="50" w:line="276" w:lineRule="auto"/>
        <w:ind w:left="420"/>
        <w:jc w:val="center"/>
      </w:pPr>
      <w:r>
        <w:rPr>
          <w:rFonts w:hint="eastAsia"/>
        </w:rPr>
        <w:drawing>
          <wp:inline distT="0" distB="0" distL="114300" distR="114300">
            <wp:extent cx="3971290" cy="2038985"/>
            <wp:effectExtent l="0" t="0" r="10160" b="18415"/>
            <wp:docPr id="12" name="图片 1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drawing>
          <wp:inline distT="0" distB="0" distL="0" distR="0">
            <wp:extent cx="1130300" cy="21596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Cs w:val="21"/>
        </w:rPr>
      </w:pPr>
      <w:r>
        <w:rPr>
          <w:szCs w:val="21"/>
        </w:rPr>
        <w:t>图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  </w:t>
      </w:r>
      <w:r>
        <w:rPr>
          <w:rFonts w:hint="eastAsia"/>
          <w:kern w:val="0"/>
          <w:szCs w:val="21"/>
        </w:rPr>
        <w:t>接线</w:t>
      </w:r>
      <w:r>
        <w:rPr>
          <w:szCs w:val="21"/>
        </w:rPr>
        <w:t>图</w:t>
      </w:r>
      <w:r>
        <w:rPr>
          <w:rFonts w:hint="eastAsia"/>
          <w:szCs w:val="21"/>
        </w:rPr>
        <w:t>例</w:t>
      </w:r>
    </w:p>
    <w:p>
      <w:pPr>
        <w:pStyle w:val="3"/>
        <w:numPr>
          <w:ilvl w:val="1"/>
          <w:numId w:val="0"/>
        </w:numPr>
        <w:spacing w:before="60" w:after="60"/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5.2</w:t>
      </w:r>
      <w:r>
        <w:rPr>
          <w:rFonts w:ascii="Times New Roman" w:hAnsi="Times New Roman" w:cs="Times New Roman"/>
        </w:rPr>
        <w:t xml:space="preserve">  </w:t>
      </w:r>
      <w:bookmarkStart w:id="7" w:name="_Toc40712017"/>
      <w:r>
        <w:rPr>
          <w:rFonts w:ascii="Times New Roman" w:hAnsi="Times New Roman" w:cs="Times New Roman"/>
        </w:rPr>
        <w:t>调试方法</w:t>
      </w:r>
      <w:bookmarkEnd w:id="7"/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bookmarkStart w:id="8" w:name="_Toc40712018"/>
      <w:r>
        <w:rPr>
          <w:rFonts w:hint="eastAsia" w:ascii="宋体" w:hAnsi="宋体" w:cs="宋体"/>
          <w:szCs w:val="21"/>
        </w:rPr>
        <w:t>首先使用电子编码器对探测器进行编码；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产品安装好后操作控制器对其进行登记；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使用专用烟雾对探测器进行加烟实验，探测器报警后指示灯变为红色常亮；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复位控制器，探测器恢复正常监视状态。</w:t>
      </w: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6  </w:t>
      </w:r>
      <w:r>
        <w:rPr>
          <w:rFonts w:ascii="Times New Roman" w:hAnsi="Times New Roman" w:cs="Times New Roman"/>
          <w:sz w:val="30"/>
          <w:szCs w:val="30"/>
        </w:rPr>
        <w:t>故障分析与排除</w:t>
      </w:r>
      <w:bookmarkEnd w:id="8"/>
    </w:p>
    <w:tbl>
      <w:tblPr>
        <w:tblStyle w:val="12"/>
        <w:tblW w:w="0" w:type="auto"/>
        <w:tblInd w:w="4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0" w:type="dxa"/>
            <w:shd w:val="clear" w:color="auto" w:fill="F1F1F1"/>
          </w:tcPr>
          <w:p>
            <w:pPr>
              <w:pStyle w:val="27"/>
              <w:spacing w:before="20"/>
              <w:rPr>
                <w:b/>
                <w:sz w:val="21"/>
              </w:rPr>
            </w:pPr>
            <w:r>
              <w:rPr>
                <w:b/>
                <w:sz w:val="21"/>
              </w:rPr>
              <w:t>故障现象</w:t>
            </w:r>
          </w:p>
        </w:tc>
        <w:tc>
          <w:tcPr>
            <w:tcW w:w="2130" w:type="dxa"/>
            <w:shd w:val="clear" w:color="auto" w:fill="F1F1F1"/>
          </w:tcPr>
          <w:p>
            <w:pPr>
              <w:pStyle w:val="27"/>
              <w:spacing w:before="20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</w:t>
            </w:r>
          </w:p>
        </w:tc>
        <w:tc>
          <w:tcPr>
            <w:tcW w:w="2131" w:type="dxa"/>
            <w:shd w:val="clear" w:color="auto" w:fill="F1F1F1"/>
          </w:tcPr>
          <w:p>
            <w:pPr>
              <w:pStyle w:val="27"/>
              <w:spacing w:before="20"/>
              <w:rPr>
                <w:b/>
                <w:sz w:val="21"/>
              </w:rPr>
            </w:pPr>
            <w:r>
              <w:rPr>
                <w:b/>
                <w:sz w:val="21"/>
              </w:rPr>
              <w:t>排除方法</w:t>
            </w:r>
          </w:p>
        </w:tc>
        <w:tc>
          <w:tcPr>
            <w:tcW w:w="2131" w:type="dxa"/>
            <w:shd w:val="clear" w:color="auto" w:fill="F1F1F1"/>
          </w:tcPr>
          <w:p>
            <w:pPr>
              <w:pStyle w:val="27"/>
              <w:spacing w:before="20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30" w:type="dxa"/>
            <w:vMerge w:val="restart"/>
            <w:vAlign w:val="center"/>
          </w:tcPr>
          <w:p>
            <w:pPr>
              <w:pStyle w:val="27"/>
              <w:spacing w:before="1"/>
              <w:rPr>
                <w:sz w:val="21"/>
              </w:rPr>
            </w:pPr>
            <w:r>
              <w:rPr>
                <w:sz w:val="21"/>
              </w:rPr>
              <w:t>巡检灯不亮</w:t>
            </w:r>
          </w:p>
        </w:tc>
        <w:tc>
          <w:tcPr>
            <w:tcW w:w="2130" w:type="dxa"/>
          </w:tcPr>
          <w:p>
            <w:pPr>
              <w:pStyle w:val="27"/>
              <w:spacing w:before="128"/>
              <w:rPr>
                <w:sz w:val="21"/>
              </w:rPr>
            </w:pPr>
            <w:r>
              <w:rPr>
                <w:sz w:val="21"/>
              </w:rPr>
              <w:t>未开通电源</w:t>
            </w:r>
          </w:p>
        </w:tc>
        <w:tc>
          <w:tcPr>
            <w:tcW w:w="2131" w:type="dxa"/>
          </w:tcPr>
          <w:p>
            <w:pPr>
              <w:pStyle w:val="27"/>
              <w:spacing w:before="128"/>
              <w:rPr>
                <w:sz w:val="21"/>
              </w:rPr>
            </w:pPr>
            <w:r>
              <w:rPr>
                <w:sz w:val="21"/>
              </w:rPr>
              <w:t>打开电源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>
            <w:pPr>
              <w:pStyle w:val="27"/>
              <w:spacing w:before="101"/>
              <w:rPr>
                <w:sz w:val="21"/>
              </w:rPr>
            </w:pPr>
            <w:r>
              <w:rPr>
                <w:sz w:val="21"/>
              </w:rPr>
              <w:t>接触不良</w:t>
            </w:r>
          </w:p>
        </w:tc>
        <w:tc>
          <w:tcPr>
            <w:tcW w:w="2131" w:type="dxa"/>
          </w:tcPr>
          <w:p>
            <w:pPr>
              <w:pStyle w:val="27"/>
              <w:spacing w:before="101"/>
              <w:rPr>
                <w:sz w:val="21"/>
              </w:rPr>
            </w:pPr>
            <w:r>
              <w:rPr>
                <w:sz w:val="21"/>
              </w:rPr>
              <w:t>重新接线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0" w:type="dxa"/>
          </w:tcPr>
          <w:p>
            <w:pPr>
              <w:pStyle w:val="27"/>
              <w:spacing w:before="177"/>
              <w:rPr>
                <w:sz w:val="21"/>
              </w:rPr>
            </w:pPr>
            <w:r>
              <w:rPr>
                <w:sz w:val="21"/>
              </w:rPr>
              <w:t>巡检灯亮，报故障</w:t>
            </w:r>
          </w:p>
        </w:tc>
        <w:tc>
          <w:tcPr>
            <w:tcW w:w="2130" w:type="dxa"/>
          </w:tcPr>
          <w:p>
            <w:pPr>
              <w:pStyle w:val="27"/>
              <w:spacing w:before="177"/>
              <w:rPr>
                <w:sz w:val="21"/>
              </w:rPr>
            </w:pPr>
            <w:r>
              <w:rPr>
                <w:sz w:val="21"/>
              </w:rPr>
              <w:t>现场部件有重号</w:t>
            </w:r>
          </w:p>
        </w:tc>
        <w:tc>
          <w:tcPr>
            <w:tcW w:w="2131" w:type="dxa"/>
          </w:tcPr>
          <w:p>
            <w:pPr>
              <w:pStyle w:val="27"/>
              <w:spacing w:before="21"/>
              <w:rPr>
                <w:sz w:val="21"/>
              </w:rPr>
            </w:pPr>
            <w:r>
              <w:rPr>
                <w:sz w:val="21"/>
              </w:rPr>
              <w:t>使用编码器对现场部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件重新编码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  <w:vMerge w:val="restart"/>
            <w:vAlign w:val="center"/>
          </w:tcPr>
          <w:p>
            <w:pPr>
              <w:pStyle w:val="27"/>
              <w:spacing w:before="0"/>
              <w:rPr>
                <w:sz w:val="21"/>
              </w:rPr>
            </w:pPr>
            <w:r>
              <w:rPr>
                <w:sz w:val="21"/>
              </w:rPr>
              <w:t>不能登记</w:t>
            </w:r>
          </w:p>
        </w:tc>
        <w:tc>
          <w:tcPr>
            <w:tcW w:w="2130" w:type="dxa"/>
          </w:tcPr>
          <w:p>
            <w:pPr>
              <w:pStyle w:val="27"/>
              <w:spacing w:before="176"/>
              <w:rPr>
                <w:sz w:val="21"/>
              </w:rPr>
            </w:pPr>
            <w:r>
              <w:rPr>
                <w:sz w:val="21"/>
              </w:rPr>
              <w:t>探测器未编码</w:t>
            </w:r>
          </w:p>
        </w:tc>
        <w:tc>
          <w:tcPr>
            <w:tcW w:w="2131" w:type="dxa"/>
          </w:tcPr>
          <w:p>
            <w:pPr>
              <w:pStyle w:val="27"/>
              <w:spacing w:before="20"/>
              <w:rPr>
                <w:sz w:val="21"/>
              </w:rPr>
            </w:pPr>
            <w:r>
              <w:rPr>
                <w:sz w:val="21"/>
              </w:rPr>
              <w:t>使用编码器对现场部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件编码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>
            <w:pPr>
              <w:pStyle w:val="27"/>
              <w:spacing w:before="176"/>
              <w:rPr>
                <w:sz w:val="21"/>
              </w:rPr>
            </w:pPr>
            <w:r>
              <w:rPr>
                <w:sz w:val="21"/>
              </w:rPr>
              <w:t>编码地址范围错误</w:t>
            </w:r>
          </w:p>
        </w:tc>
        <w:tc>
          <w:tcPr>
            <w:tcW w:w="2131" w:type="dxa"/>
          </w:tcPr>
          <w:p>
            <w:pPr>
              <w:pStyle w:val="27"/>
              <w:spacing w:before="20"/>
              <w:rPr>
                <w:sz w:val="21"/>
              </w:rPr>
            </w:pPr>
            <w:r>
              <w:rPr>
                <w:sz w:val="21"/>
              </w:rPr>
              <w:t>参照编码器说明书重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新编码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0" w:type="dxa"/>
            <w:vMerge w:val="restart"/>
            <w:vAlign w:val="center"/>
          </w:tcPr>
          <w:p>
            <w:pPr>
              <w:pStyle w:val="27"/>
              <w:spacing w:before="0"/>
              <w:rPr>
                <w:sz w:val="21"/>
              </w:rPr>
            </w:pPr>
            <w:r>
              <w:rPr>
                <w:sz w:val="21"/>
              </w:rPr>
              <w:t>上电报火警</w:t>
            </w:r>
          </w:p>
        </w:tc>
        <w:tc>
          <w:tcPr>
            <w:tcW w:w="2130" w:type="dxa"/>
          </w:tcPr>
          <w:p>
            <w:pPr>
              <w:pStyle w:val="27"/>
              <w:spacing w:before="21"/>
              <w:rPr>
                <w:sz w:val="21"/>
              </w:rPr>
            </w:pPr>
            <w:r>
              <w:rPr>
                <w:sz w:val="21"/>
              </w:rPr>
              <w:t>迷宫腔内有灰尘，污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染较重</w:t>
            </w:r>
          </w:p>
        </w:tc>
        <w:tc>
          <w:tcPr>
            <w:tcW w:w="2131" w:type="dxa"/>
          </w:tcPr>
          <w:p>
            <w:pPr>
              <w:pStyle w:val="27"/>
              <w:spacing w:before="21"/>
              <w:rPr>
                <w:sz w:val="21"/>
              </w:rPr>
            </w:pPr>
            <w:r>
              <w:rPr>
                <w:sz w:val="21"/>
              </w:rPr>
              <w:t>用吹风机或其它吹气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工具将灰尘清除</w:t>
            </w:r>
          </w:p>
        </w:tc>
        <w:tc>
          <w:tcPr>
            <w:tcW w:w="2131" w:type="dxa"/>
          </w:tcPr>
          <w:p>
            <w:pPr>
              <w:pStyle w:val="27"/>
              <w:spacing w:before="21"/>
              <w:ind w:left="108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>
            <w:pPr>
              <w:pStyle w:val="27"/>
              <w:spacing w:before="176"/>
              <w:rPr>
                <w:sz w:val="21"/>
              </w:rPr>
            </w:pPr>
            <w:r>
              <w:rPr>
                <w:sz w:val="21"/>
              </w:rPr>
              <w:t>现场部件有重号</w:t>
            </w:r>
          </w:p>
        </w:tc>
        <w:tc>
          <w:tcPr>
            <w:tcW w:w="2131" w:type="dxa"/>
          </w:tcPr>
          <w:p>
            <w:pPr>
              <w:pStyle w:val="27"/>
              <w:spacing w:before="20"/>
              <w:rPr>
                <w:sz w:val="21"/>
              </w:rPr>
            </w:pPr>
            <w:r>
              <w:rPr>
                <w:sz w:val="21"/>
              </w:rPr>
              <w:t>使用编码器对现场部</w:t>
            </w:r>
          </w:p>
          <w:p>
            <w:pPr>
              <w:pStyle w:val="27"/>
              <w:spacing w:before="43"/>
              <w:rPr>
                <w:sz w:val="21"/>
              </w:rPr>
            </w:pPr>
            <w:r>
              <w:rPr>
                <w:sz w:val="21"/>
              </w:rPr>
              <w:t>件重新编码</w:t>
            </w:r>
          </w:p>
        </w:tc>
        <w:tc>
          <w:tcPr>
            <w:tcW w:w="2131" w:type="dxa"/>
          </w:tcPr>
          <w:p>
            <w:pPr>
              <w:pStyle w:val="2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/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9" w:name="_Toc40712019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7  </w:t>
      </w:r>
      <w:r>
        <w:rPr>
          <w:rFonts w:ascii="Times New Roman" w:hAnsi="Times New Roman" w:cs="Times New Roman"/>
          <w:sz w:val="30"/>
          <w:szCs w:val="30"/>
        </w:rPr>
        <w:t>保养、维护</w:t>
      </w:r>
      <w:bookmarkEnd w:id="9"/>
    </w:p>
    <w:p>
      <w:pPr>
        <w:numPr>
          <w:ilvl w:val="0"/>
          <w:numId w:val="7"/>
        </w:numPr>
        <w:spacing w:line="276" w:lineRule="auto"/>
        <w:ind w:left="426" w:hanging="426"/>
      </w:pPr>
      <w:bookmarkStart w:id="10" w:name="_Toc40712020"/>
      <w:r>
        <w:rPr>
          <w:rFonts w:hint="eastAsia"/>
        </w:rPr>
        <w:t>建议检测验收前加防尘罩保护，但系统正式运行前一定要去掉防尘罩。</w:t>
      </w:r>
    </w:p>
    <w:p>
      <w:pPr>
        <w:numPr>
          <w:ilvl w:val="0"/>
          <w:numId w:val="7"/>
        </w:numPr>
        <w:spacing w:line="276" w:lineRule="auto"/>
        <w:ind w:left="426" w:hanging="426"/>
      </w:pPr>
      <w:r>
        <w:rPr>
          <w:rFonts w:ascii="Arial" w:cs="Arial"/>
        </w:rPr>
        <w:t>定期进行</w:t>
      </w:r>
      <w:r>
        <w:rPr>
          <w:rFonts w:hint="eastAsia" w:ascii="Arial" w:cs="Arial"/>
        </w:rPr>
        <w:t>探测器报警</w:t>
      </w:r>
      <w:r>
        <w:rPr>
          <w:rFonts w:ascii="Arial" w:cs="Arial"/>
        </w:rPr>
        <w:t>试验，建议每半年一次</w:t>
      </w:r>
      <w:r>
        <w:rPr>
          <w:rFonts w:hint="eastAsia" w:ascii="Arial" w:cs="Arial"/>
        </w:rPr>
        <w:t>。</w:t>
      </w: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8  </w:t>
      </w:r>
      <w:r>
        <w:rPr>
          <w:rFonts w:ascii="Times New Roman" w:hAnsi="Times New Roman" w:cs="Times New Roman"/>
          <w:sz w:val="30"/>
          <w:szCs w:val="30"/>
        </w:rPr>
        <w:t>开箱及检查</w:t>
      </w:r>
      <w:bookmarkEnd w:id="10"/>
    </w:p>
    <w:p>
      <w:pPr>
        <w:tabs>
          <w:tab w:val="left" w:pos="420"/>
          <w:tab w:val="left" w:pos="900"/>
        </w:tabs>
        <w:spacing w:after="156" w:after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打开包装后，本产品应该包括：</w:t>
      </w:r>
    </w:p>
    <w:tbl>
      <w:tblPr>
        <w:tblStyle w:val="13"/>
        <w:tblW w:w="41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9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点型光电感烟火灾探测器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9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产品使用说明书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9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3颗M6×14内六角螺钉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9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1个5-M6</w:t>
            </w:r>
            <w:r>
              <w:rPr>
                <w:rFonts w:hint="eastAsia" w:ascii="宋体" w:hAnsi="宋体" w:eastAsia="宋体" w:cs="宋体"/>
              </w:rPr>
              <w:t>内六角扳</w:t>
            </w:r>
            <w:r>
              <w:rPr>
                <w:rFonts w:hint="eastAsia" w:ascii="Times New Roman" w:hAnsi="Times New Roman" w:cs="Times New Roman"/>
              </w:rPr>
              <w:t>手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9  </w:t>
      </w:r>
      <w:r>
        <w:rPr>
          <w:rFonts w:ascii="Times New Roman" w:hAnsi="Times New Roman" w:cs="Times New Roman"/>
          <w:sz w:val="30"/>
          <w:szCs w:val="30"/>
        </w:rPr>
        <w:t>注意事项、免责声明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在使用中，必须严格按照本说明书的描述进行安装与调试。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经检验合格产品，不允许随意更换元器件或改变结构，以免影响防爆性能。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密封圈、紧固件如有损坏，应及时更换。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非专业人员不得随意安装、拆卸。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本公司保留对本说明书的最终解释权。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须配装与此产品防爆等级适用的并取得强制性认证的引入装置。</w:t>
      </w:r>
    </w:p>
    <w:p>
      <w:pPr>
        <w:pStyle w:val="19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探测器是一次性产品，一旦损坏不可维修</w:t>
      </w:r>
      <w:r>
        <w:rPr>
          <w:rFonts w:ascii="Times New Roman" w:hAnsi="Times New Roman"/>
          <w:b/>
          <w:kern w:val="0"/>
          <w:szCs w:val="21"/>
        </w:rPr>
        <w:t>。</w:t>
      </w: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警告：产品外壳塑料材质部分，有潜在静电电荷危险，避免摩擦，清洁时请用湿布擦拭！</w:t>
      </w: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产品在正常使用、维护和清洁时避免由静电电荷引起点燃危险，使用在爆炸环境中时，不应触碰和擦拭设备。如必须擦拭、触碰，则应在通风良好，无气体泄露的场所进行，并用拧干的湿布擦拭外壳，严禁用干布擦拭外壳。</w:t>
      </w: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  <w:sectPr>
          <w:pgSz w:w="11906" w:h="16838"/>
          <w:pgMar w:top="1134" w:right="1304" w:bottom="1134" w:left="1304" w:header="851" w:footer="794" w:gutter="0"/>
          <w:pgNumType w:start="1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四川久远智能消防设备有限责任公司</w:t>
      </w:r>
      <w:r>
        <w:rPr>
          <w:rFonts w:hint="eastAsia"/>
          <w:b/>
          <w:sz w:val="24"/>
          <w:lang w:val="en-US" w:eastAsia="zh-CN"/>
        </w:rPr>
        <w:t xml:space="preserve">                                联系我们</w:t>
      </w:r>
    </w:p>
    <w:p>
      <w:pPr>
        <w:spacing w:line="360" w:lineRule="auto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 xml:space="preserve">四川省绵阳安州工业园区创业路4号          </w:t>
      </w: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4485640</wp:posOffset>
            </wp:positionH>
            <wp:positionV relativeFrom="margin">
              <wp:posOffset>6600825</wp:posOffset>
            </wp:positionV>
            <wp:extent cx="1409065" cy="1389380"/>
            <wp:effectExtent l="0" t="0" r="635" b="1270"/>
            <wp:wrapSquare wrapText="bothSides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邮    编：</w:t>
      </w:r>
      <w:r>
        <w:rPr>
          <w:rFonts w:hint="eastAsia"/>
          <w:sz w:val="24"/>
        </w:rPr>
        <w:t>622650</w:t>
      </w:r>
    </w:p>
    <w:p>
      <w:pPr>
        <w:spacing w:line="360" w:lineRule="auto"/>
        <w:rPr>
          <w:sz w:val="24"/>
        </w:rPr>
      </w:pPr>
      <w:r>
        <w:rPr>
          <w:sz w:val="24"/>
        </w:rPr>
        <w:t>服务热线：</w:t>
      </w:r>
      <w:r>
        <w:rPr>
          <w:rFonts w:hint="eastAsia"/>
          <w:sz w:val="24"/>
        </w:rPr>
        <w:t>0816-4682123 4682119</w:t>
      </w:r>
    </w:p>
    <w:p>
      <w:pPr>
        <w:spacing w:line="360" w:lineRule="auto"/>
        <w:rPr>
          <w:sz w:val="24"/>
        </w:rPr>
      </w:pPr>
      <w:r>
        <w:rPr>
          <w:sz w:val="24"/>
        </w:rPr>
        <w:t>传    真：</w:t>
      </w:r>
      <w:r>
        <w:rPr>
          <w:rFonts w:hint="eastAsia"/>
          <w:sz w:val="24"/>
        </w:rPr>
        <w:t>0816-4682123</w:t>
      </w:r>
    </w:p>
    <w:p>
      <w:pPr>
        <w:spacing w:line="360" w:lineRule="auto"/>
        <w:rPr>
          <w:sz w:val="24"/>
        </w:rPr>
      </w:pPr>
      <w:r>
        <w:rPr>
          <w:sz w:val="24"/>
        </w:rPr>
        <w:t>网    址：</w:t>
      </w:r>
      <w:r>
        <w:fldChar w:fldCharType="begin"/>
      </w:r>
      <w:r>
        <w:instrText xml:space="preserve"> HYPERLINK "http://www.jyznxf.com" </w:instrText>
      </w:r>
      <w:r>
        <w:fldChar w:fldCharType="separate"/>
      </w:r>
      <w:r>
        <w:rPr>
          <w:rStyle w:val="15"/>
          <w:rFonts w:hint="eastAsia"/>
          <w:sz w:val="24"/>
        </w:rPr>
        <w:t>www.jyznxf.com</w:t>
      </w:r>
      <w:r>
        <w:rPr>
          <w:rStyle w:val="15"/>
          <w:rFonts w:hint="eastAsia"/>
          <w:sz w:val="24"/>
        </w:rPr>
        <w:fldChar w:fldCharType="end"/>
      </w:r>
    </w:p>
    <w:p>
      <w:pPr>
        <w:rPr>
          <w:rFonts w:ascii="Times New Roman" w:hAnsi="Times New Roman" w:cs="Times New Roman"/>
          <w:szCs w:val="21"/>
        </w:rPr>
      </w:pPr>
    </w:p>
    <w:sectPr>
      <w:pgSz w:w="11906" w:h="16838"/>
      <w:pgMar w:top="1134" w:right="1304" w:bottom="1134" w:left="1304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</w:rPr>
    </w:pPr>
    <w:r>
      <w:rPr>
        <w:rFonts w:hint="eastAsia"/>
      </w:rPr>
      <w:t xml:space="preserve">四川久远智能消防设备有限责任公司                                                        </w:t>
    </w:r>
    <w:r>
      <w:rPr>
        <w:rFonts w:hint="eastAsia" w:asciiTheme="minorEastAsia" w:hAnsiTheme="minorEastAsia"/>
      </w:rPr>
      <w:t xml:space="preserve"> 第</w:t>
    </w:r>
    <w:r>
      <w:rPr>
        <w:rFonts w:asciiTheme="minorEastAsia" w:hAnsiTheme="minorEastAsia"/>
        <w:lang w:val="zh-CN"/>
      </w:rPr>
      <w:t xml:space="preserve"> </w:t>
    </w:r>
    <w:r>
      <w:rPr>
        <w:rFonts w:asciiTheme="minorEastAsia" w:hAnsiTheme="minorEastAsia"/>
        <w:bCs/>
      </w:rPr>
      <w:fldChar w:fldCharType="begin"/>
    </w:r>
    <w:r>
      <w:rPr>
        <w:rFonts w:asciiTheme="minorEastAsia" w:hAnsiTheme="minorEastAsia"/>
        <w:bCs/>
      </w:rPr>
      <w:instrText xml:space="preserve">PAGE  \* Arabic  \* MERGEFORMAT</w:instrText>
    </w:r>
    <w:r>
      <w:rPr>
        <w:rFonts w:asciiTheme="minorEastAsia" w:hAnsiTheme="minorEastAsia"/>
        <w:bCs/>
      </w:rPr>
      <w:fldChar w:fldCharType="separate"/>
    </w:r>
    <w:r>
      <w:rPr>
        <w:rFonts w:asciiTheme="minorEastAsia" w:hAnsiTheme="minorEastAsia"/>
        <w:bCs/>
        <w:lang w:val="zh-CN"/>
      </w:rPr>
      <w:t>4</w:t>
    </w:r>
    <w:r>
      <w:rPr>
        <w:rFonts w:asciiTheme="minorEastAsia" w:hAnsiTheme="minorEastAsia"/>
        <w:bCs/>
      </w:rPr>
      <w:fldChar w:fldCharType="end"/>
    </w:r>
    <w:r>
      <w:rPr>
        <w:rFonts w:asciiTheme="minorEastAsia" w:hAnsiTheme="minorEastAsia"/>
        <w:bCs/>
      </w:rPr>
      <w:t>页，共</w:t>
    </w:r>
    <w:r>
      <w:rPr>
        <w:rFonts w:asciiTheme="minorEastAsia" w:hAnsiTheme="minorEastAsia"/>
        <w:lang w:val="zh-CN"/>
      </w:rPr>
      <w:t xml:space="preserve"> </w:t>
    </w:r>
    <w:r>
      <w:rPr>
        <w:rFonts w:hint="eastAsia" w:asciiTheme="minorEastAsia" w:hAnsiTheme="minorEastAsia"/>
        <w:bCs/>
        <w:lang w:val="en-US" w:eastAsia="zh-CN"/>
      </w:rPr>
      <w:t>6</w:t>
    </w:r>
    <w:r>
      <w:rPr>
        <w:rFonts w:asciiTheme="minorEastAsia" w:hAnsiTheme="minorEastAsia"/>
        <w:bCs/>
      </w:rPr>
      <w:t>页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rPr>
        <w:rFonts w:hint="eastAsia"/>
      </w:rPr>
      <w:drawing>
        <wp:inline distT="0" distB="0" distL="114300" distR="114300">
          <wp:extent cx="468630" cy="299720"/>
          <wp:effectExtent l="0" t="0" r="7620" b="5080"/>
          <wp:docPr id="7" name="图片 2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久远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6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JF-Y301G-Ex点型光电感烟火灾探测器使用说明书V1.0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32A1A33"/>
    <w:multiLevelType w:val="multilevel"/>
    <w:tmpl w:val="032A1A3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5CE6E85"/>
    <w:multiLevelType w:val="multilevel"/>
    <w:tmpl w:val="05CE6E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3C3488A"/>
    <w:multiLevelType w:val="multilevel"/>
    <w:tmpl w:val="13C3488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7BE3948"/>
    <w:multiLevelType w:val="multilevel"/>
    <w:tmpl w:val="37BE3948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6BF43074"/>
    <w:multiLevelType w:val="multilevel"/>
    <w:tmpl w:val="6BF43074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75DB325D"/>
    <w:multiLevelType w:val="multilevel"/>
    <w:tmpl w:val="75DB32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 w:tentative="1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hint="default" w:ascii="Wingdings" w:hAnsi="Wingdings"/>
        </w:rPr>
      </w:lvl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ZTlhNGQ2MjYyZWVjN2ZjMDVjNTdhNDM5NGIxNzIifQ=="/>
  </w:docVars>
  <w:rsids>
    <w:rsidRoot w:val="000628F2"/>
    <w:rsid w:val="000008AF"/>
    <w:rsid w:val="00001DA7"/>
    <w:rsid w:val="00007C84"/>
    <w:rsid w:val="00025620"/>
    <w:rsid w:val="0003780C"/>
    <w:rsid w:val="00047F0B"/>
    <w:rsid w:val="00062402"/>
    <w:rsid w:val="000628F2"/>
    <w:rsid w:val="000648DA"/>
    <w:rsid w:val="00070406"/>
    <w:rsid w:val="000704E5"/>
    <w:rsid w:val="00074AE1"/>
    <w:rsid w:val="00075769"/>
    <w:rsid w:val="0008313B"/>
    <w:rsid w:val="00083D42"/>
    <w:rsid w:val="000939F1"/>
    <w:rsid w:val="00093A6E"/>
    <w:rsid w:val="0009658D"/>
    <w:rsid w:val="00096C72"/>
    <w:rsid w:val="00096E66"/>
    <w:rsid w:val="000B6A25"/>
    <w:rsid w:val="000D1A2C"/>
    <w:rsid w:val="000D38AA"/>
    <w:rsid w:val="000D3FA0"/>
    <w:rsid w:val="000D6C6B"/>
    <w:rsid w:val="000E0432"/>
    <w:rsid w:val="000E0C4C"/>
    <w:rsid w:val="000E3497"/>
    <w:rsid w:val="000E3C0B"/>
    <w:rsid w:val="000F0876"/>
    <w:rsid w:val="00110167"/>
    <w:rsid w:val="00111B82"/>
    <w:rsid w:val="00134D54"/>
    <w:rsid w:val="001351CC"/>
    <w:rsid w:val="0014148B"/>
    <w:rsid w:val="0014216D"/>
    <w:rsid w:val="00147E7D"/>
    <w:rsid w:val="00152D03"/>
    <w:rsid w:val="001566CD"/>
    <w:rsid w:val="0016164B"/>
    <w:rsid w:val="00167649"/>
    <w:rsid w:val="0017393D"/>
    <w:rsid w:val="00173A8F"/>
    <w:rsid w:val="001745CA"/>
    <w:rsid w:val="0019017F"/>
    <w:rsid w:val="00194728"/>
    <w:rsid w:val="001B25BF"/>
    <w:rsid w:val="001B3A9A"/>
    <w:rsid w:val="001B6DFB"/>
    <w:rsid w:val="001C0DC9"/>
    <w:rsid w:val="001D54FE"/>
    <w:rsid w:val="001D6D7E"/>
    <w:rsid w:val="0021775E"/>
    <w:rsid w:val="002323AF"/>
    <w:rsid w:val="00235475"/>
    <w:rsid w:val="00235850"/>
    <w:rsid w:val="002411C7"/>
    <w:rsid w:val="002425DF"/>
    <w:rsid w:val="00245D30"/>
    <w:rsid w:val="00246E11"/>
    <w:rsid w:val="0026103C"/>
    <w:rsid w:val="00261CC3"/>
    <w:rsid w:val="002663BF"/>
    <w:rsid w:val="00271A61"/>
    <w:rsid w:val="00276EB3"/>
    <w:rsid w:val="0029215F"/>
    <w:rsid w:val="002C6349"/>
    <w:rsid w:val="002D6BD5"/>
    <w:rsid w:val="002E6545"/>
    <w:rsid w:val="002F09DC"/>
    <w:rsid w:val="002F52AD"/>
    <w:rsid w:val="00304788"/>
    <w:rsid w:val="00306BE6"/>
    <w:rsid w:val="0031267C"/>
    <w:rsid w:val="00322BCA"/>
    <w:rsid w:val="00341987"/>
    <w:rsid w:val="00357244"/>
    <w:rsid w:val="00366822"/>
    <w:rsid w:val="0038133C"/>
    <w:rsid w:val="00385E7B"/>
    <w:rsid w:val="00393292"/>
    <w:rsid w:val="003A37FF"/>
    <w:rsid w:val="003A56F8"/>
    <w:rsid w:val="003B432B"/>
    <w:rsid w:val="003D6D66"/>
    <w:rsid w:val="003E3436"/>
    <w:rsid w:val="003E72DC"/>
    <w:rsid w:val="003E7C92"/>
    <w:rsid w:val="003F3D3B"/>
    <w:rsid w:val="004161E6"/>
    <w:rsid w:val="0041628A"/>
    <w:rsid w:val="0042184F"/>
    <w:rsid w:val="00422A20"/>
    <w:rsid w:val="00425D93"/>
    <w:rsid w:val="00456881"/>
    <w:rsid w:val="004620E4"/>
    <w:rsid w:val="00484668"/>
    <w:rsid w:val="004911B2"/>
    <w:rsid w:val="00496A6C"/>
    <w:rsid w:val="004A4AF5"/>
    <w:rsid w:val="004B5091"/>
    <w:rsid w:val="004B53A1"/>
    <w:rsid w:val="004D23A8"/>
    <w:rsid w:val="004D4BC2"/>
    <w:rsid w:val="004D58F9"/>
    <w:rsid w:val="004E7657"/>
    <w:rsid w:val="004F00BD"/>
    <w:rsid w:val="004F1104"/>
    <w:rsid w:val="00500C59"/>
    <w:rsid w:val="00500CAE"/>
    <w:rsid w:val="00504741"/>
    <w:rsid w:val="0052603F"/>
    <w:rsid w:val="00534E41"/>
    <w:rsid w:val="0056598A"/>
    <w:rsid w:val="00567F74"/>
    <w:rsid w:val="00582D81"/>
    <w:rsid w:val="00595B2E"/>
    <w:rsid w:val="005B620D"/>
    <w:rsid w:val="005C1325"/>
    <w:rsid w:val="005C1DC9"/>
    <w:rsid w:val="005C2099"/>
    <w:rsid w:val="005D0831"/>
    <w:rsid w:val="005D6A9A"/>
    <w:rsid w:val="005E2E9A"/>
    <w:rsid w:val="005F49AE"/>
    <w:rsid w:val="00603129"/>
    <w:rsid w:val="00603CDD"/>
    <w:rsid w:val="00613E3D"/>
    <w:rsid w:val="00620FCD"/>
    <w:rsid w:val="006210B0"/>
    <w:rsid w:val="00621B90"/>
    <w:rsid w:val="00624436"/>
    <w:rsid w:val="00627719"/>
    <w:rsid w:val="00630EDD"/>
    <w:rsid w:val="00660B79"/>
    <w:rsid w:val="0066517A"/>
    <w:rsid w:val="00666EE2"/>
    <w:rsid w:val="00667BEC"/>
    <w:rsid w:val="00672E92"/>
    <w:rsid w:val="00680533"/>
    <w:rsid w:val="00680F2B"/>
    <w:rsid w:val="00681E16"/>
    <w:rsid w:val="00686AAE"/>
    <w:rsid w:val="006920DE"/>
    <w:rsid w:val="006941CD"/>
    <w:rsid w:val="00696AEE"/>
    <w:rsid w:val="006B2AED"/>
    <w:rsid w:val="006B3935"/>
    <w:rsid w:val="006B622E"/>
    <w:rsid w:val="006D015D"/>
    <w:rsid w:val="006D627D"/>
    <w:rsid w:val="006E1B80"/>
    <w:rsid w:val="006E309C"/>
    <w:rsid w:val="006E7ACF"/>
    <w:rsid w:val="006F709C"/>
    <w:rsid w:val="00707498"/>
    <w:rsid w:val="007235AF"/>
    <w:rsid w:val="00723618"/>
    <w:rsid w:val="00723D32"/>
    <w:rsid w:val="007312BB"/>
    <w:rsid w:val="00735DDA"/>
    <w:rsid w:val="0074698E"/>
    <w:rsid w:val="00746CB4"/>
    <w:rsid w:val="007547BB"/>
    <w:rsid w:val="007B2F61"/>
    <w:rsid w:val="007C4B4C"/>
    <w:rsid w:val="007C63C2"/>
    <w:rsid w:val="007C7965"/>
    <w:rsid w:val="007D6D89"/>
    <w:rsid w:val="007E0299"/>
    <w:rsid w:val="007E7409"/>
    <w:rsid w:val="007F5F7D"/>
    <w:rsid w:val="00801F57"/>
    <w:rsid w:val="0082203C"/>
    <w:rsid w:val="0082291A"/>
    <w:rsid w:val="008320D3"/>
    <w:rsid w:val="00837ABE"/>
    <w:rsid w:val="00840D3C"/>
    <w:rsid w:val="0085178F"/>
    <w:rsid w:val="0085521A"/>
    <w:rsid w:val="00855F16"/>
    <w:rsid w:val="00857C52"/>
    <w:rsid w:val="0086675A"/>
    <w:rsid w:val="00874325"/>
    <w:rsid w:val="008775CC"/>
    <w:rsid w:val="00877EE0"/>
    <w:rsid w:val="008A18C7"/>
    <w:rsid w:val="008A245D"/>
    <w:rsid w:val="008B6502"/>
    <w:rsid w:val="008C15E0"/>
    <w:rsid w:val="008D00F2"/>
    <w:rsid w:val="008F0760"/>
    <w:rsid w:val="008F2A1A"/>
    <w:rsid w:val="009037B0"/>
    <w:rsid w:val="00906418"/>
    <w:rsid w:val="009114E7"/>
    <w:rsid w:val="009131FA"/>
    <w:rsid w:val="009145E8"/>
    <w:rsid w:val="009253FE"/>
    <w:rsid w:val="00934B70"/>
    <w:rsid w:val="00936276"/>
    <w:rsid w:val="00947EC5"/>
    <w:rsid w:val="009576F4"/>
    <w:rsid w:val="009607F7"/>
    <w:rsid w:val="009812D1"/>
    <w:rsid w:val="00992E0D"/>
    <w:rsid w:val="00997EED"/>
    <w:rsid w:val="009A3F4E"/>
    <w:rsid w:val="009C2682"/>
    <w:rsid w:val="009C43E6"/>
    <w:rsid w:val="009D77CC"/>
    <w:rsid w:val="009F1828"/>
    <w:rsid w:val="009F3AFF"/>
    <w:rsid w:val="009F598F"/>
    <w:rsid w:val="00A15A25"/>
    <w:rsid w:val="00A22C64"/>
    <w:rsid w:val="00A23A2B"/>
    <w:rsid w:val="00A243DB"/>
    <w:rsid w:val="00A40607"/>
    <w:rsid w:val="00AA730C"/>
    <w:rsid w:val="00AC0AE2"/>
    <w:rsid w:val="00AD1E0D"/>
    <w:rsid w:val="00B307D5"/>
    <w:rsid w:val="00B368A8"/>
    <w:rsid w:val="00B370B5"/>
    <w:rsid w:val="00B41CFD"/>
    <w:rsid w:val="00B461C1"/>
    <w:rsid w:val="00B57020"/>
    <w:rsid w:val="00B638D6"/>
    <w:rsid w:val="00B71A36"/>
    <w:rsid w:val="00B7350B"/>
    <w:rsid w:val="00B84A6B"/>
    <w:rsid w:val="00B84B69"/>
    <w:rsid w:val="00B87425"/>
    <w:rsid w:val="00BB4C83"/>
    <w:rsid w:val="00BB5EA5"/>
    <w:rsid w:val="00BB63BD"/>
    <w:rsid w:val="00BC0196"/>
    <w:rsid w:val="00BC39BD"/>
    <w:rsid w:val="00BC5637"/>
    <w:rsid w:val="00BC5F38"/>
    <w:rsid w:val="00BD3B4E"/>
    <w:rsid w:val="00BE0AE9"/>
    <w:rsid w:val="00BE3C85"/>
    <w:rsid w:val="00BE4F75"/>
    <w:rsid w:val="00BF07AC"/>
    <w:rsid w:val="00BF217D"/>
    <w:rsid w:val="00BF35FE"/>
    <w:rsid w:val="00BF68B7"/>
    <w:rsid w:val="00C05377"/>
    <w:rsid w:val="00C15096"/>
    <w:rsid w:val="00C448EA"/>
    <w:rsid w:val="00C467B9"/>
    <w:rsid w:val="00C5608D"/>
    <w:rsid w:val="00C5639C"/>
    <w:rsid w:val="00C617D2"/>
    <w:rsid w:val="00C644FA"/>
    <w:rsid w:val="00C678C1"/>
    <w:rsid w:val="00C749CA"/>
    <w:rsid w:val="00C74F4E"/>
    <w:rsid w:val="00CA553C"/>
    <w:rsid w:val="00CA7B5C"/>
    <w:rsid w:val="00CB59B9"/>
    <w:rsid w:val="00CB6114"/>
    <w:rsid w:val="00CC178B"/>
    <w:rsid w:val="00CC1ACD"/>
    <w:rsid w:val="00CC2DAA"/>
    <w:rsid w:val="00CC59E2"/>
    <w:rsid w:val="00CE5F09"/>
    <w:rsid w:val="00CF17FC"/>
    <w:rsid w:val="00CF42C9"/>
    <w:rsid w:val="00D33B04"/>
    <w:rsid w:val="00D40BB9"/>
    <w:rsid w:val="00D43364"/>
    <w:rsid w:val="00D44C35"/>
    <w:rsid w:val="00D45A81"/>
    <w:rsid w:val="00D513BD"/>
    <w:rsid w:val="00D60A15"/>
    <w:rsid w:val="00D812D6"/>
    <w:rsid w:val="00D85806"/>
    <w:rsid w:val="00D864FA"/>
    <w:rsid w:val="00DA3473"/>
    <w:rsid w:val="00DC6B66"/>
    <w:rsid w:val="00DD20BB"/>
    <w:rsid w:val="00DD4A33"/>
    <w:rsid w:val="00DD6249"/>
    <w:rsid w:val="00DF2180"/>
    <w:rsid w:val="00DF32DF"/>
    <w:rsid w:val="00E0149C"/>
    <w:rsid w:val="00E0759E"/>
    <w:rsid w:val="00E42838"/>
    <w:rsid w:val="00E4371D"/>
    <w:rsid w:val="00E44E7D"/>
    <w:rsid w:val="00E73663"/>
    <w:rsid w:val="00E76C7C"/>
    <w:rsid w:val="00E80857"/>
    <w:rsid w:val="00E95CC8"/>
    <w:rsid w:val="00EA0A96"/>
    <w:rsid w:val="00EA4DEC"/>
    <w:rsid w:val="00EC090C"/>
    <w:rsid w:val="00ED0EFB"/>
    <w:rsid w:val="00ED57EB"/>
    <w:rsid w:val="00EE11E2"/>
    <w:rsid w:val="00EE7F9E"/>
    <w:rsid w:val="00EF7147"/>
    <w:rsid w:val="00F313DA"/>
    <w:rsid w:val="00F349F1"/>
    <w:rsid w:val="00F40778"/>
    <w:rsid w:val="00F40AFD"/>
    <w:rsid w:val="00F45F5F"/>
    <w:rsid w:val="00F52DED"/>
    <w:rsid w:val="00F5571F"/>
    <w:rsid w:val="00F769AC"/>
    <w:rsid w:val="00FC1732"/>
    <w:rsid w:val="00FD579E"/>
    <w:rsid w:val="00FE23A2"/>
    <w:rsid w:val="00FF77B6"/>
    <w:rsid w:val="032438C6"/>
    <w:rsid w:val="0C7F74BB"/>
    <w:rsid w:val="12CB4DF9"/>
    <w:rsid w:val="13B73FE1"/>
    <w:rsid w:val="190800BC"/>
    <w:rsid w:val="1D812C1C"/>
    <w:rsid w:val="1D9D48D2"/>
    <w:rsid w:val="25877241"/>
    <w:rsid w:val="2D0A288A"/>
    <w:rsid w:val="2E3C79E2"/>
    <w:rsid w:val="32DE4DE2"/>
    <w:rsid w:val="349D0FC6"/>
    <w:rsid w:val="3C4F3473"/>
    <w:rsid w:val="43470E11"/>
    <w:rsid w:val="4AF764B1"/>
    <w:rsid w:val="4B941E19"/>
    <w:rsid w:val="4BB40056"/>
    <w:rsid w:val="4E672D51"/>
    <w:rsid w:val="52BE3E60"/>
    <w:rsid w:val="54EE4778"/>
    <w:rsid w:val="607E12CC"/>
    <w:rsid w:val="650B66C3"/>
    <w:rsid w:val="66596474"/>
    <w:rsid w:val="68B81C14"/>
    <w:rsid w:val="69310872"/>
    <w:rsid w:val="6A955B90"/>
    <w:rsid w:val="6E8B4498"/>
    <w:rsid w:val="6F6F19DF"/>
    <w:rsid w:val="71113EE2"/>
    <w:rsid w:val="758463FA"/>
    <w:rsid w:val="787378D9"/>
    <w:rsid w:val="794B2117"/>
    <w:rsid w:val="798F5896"/>
    <w:rsid w:val="7D170686"/>
    <w:rsid w:val="7D4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1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批注文字 字符"/>
    <w:basedOn w:val="14"/>
    <w:link w:val="5"/>
    <w:semiHidden/>
    <w:qFormat/>
    <w:uiPriority w:val="99"/>
  </w:style>
  <w:style w:type="character" w:customStyle="1" w:styleId="24">
    <w:name w:val="批注主题 字符"/>
    <w:basedOn w:val="23"/>
    <w:link w:val="11"/>
    <w:semiHidden/>
    <w:qFormat/>
    <w:uiPriority w:val="99"/>
    <w:rPr>
      <w:b/>
      <w:bCs/>
    </w:rPr>
  </w:style>
  <w:style w:type="character" w:customStyle="1" w:styleId="25">
    <w:name w:val="文档结构图 字符"/>
    <w:basedOn w:val="14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spacing w:before="63"/>
      <w:ind w:left="107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em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753A2-12AA-4C75-A90F-B70830A3E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2167</Words>
  <Characters>3391</Characters>
  <Lines>20</Lines>
  <Paragraphs>5</Paragraphs>
  <TotalTime>39</TotalTime>
  <ScaleCrop>false</ScaleCrop>
  <LinksUpToDate>false</LinksUpToDate>
  <CharactersWithSpaces>3709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2022-09-15T05:43:00Z</dcterms:created>
  <dc:creator>Windows 用户</dc:creator>
  <cp:lastModifiedBy>Administrator</cp:lastModifiedBy>
  <cp:lastPrinted>2022-06-01T09:53:00Z</cp:lastPrinted>
  <dcterms:modified xsi:type="dcterms:W3CDTF">2023-06-15T03:30:38Z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B74E0A32313B46A48F37B981B0E17615_13</vt:lpwstr>
  </property>
</Properties>
</file>